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0FC58" w14:textId="47DE342A" w:rsidR="000763E4" w:rsidRDefault="000763E4" w:rsidP="000763E4">
      <w:pPr>
        <w:pStyle w:val="Default"/>
      </w:pPr>
    </w:p>
    <w:p w14:paraId="2AED9223" w14:textId="0F4F7DD7" w:rsidR="000763E4" w:rsidRDefault="000763E4" w:rsidP="000763E4">
      <w:pPr>
        <w:pStyle w:val="Default"/>
        <w:jc w:val="center"/>
        <w:rPr>
          <w:b/>
          <w:bCs/>
          <w:sz w:val="36"/>
          <w:szCs w:val="36"/>
        </w:rPr>
      </w:pPr>
      <w:r w:rsidRPr="000763E4">
        <w:rPr>
          <w:b/>
          <w:bCs/>
          <w:sz w:val="36"/>
          <w:szCs w:val="36"/>
        </w:rPr>
        <w:t>5X Sit-to-Stand Test (5XSST)</w:t>
      </w:r>
    </w:p>
    <w:p w14:paraId="779B5C39" w14:textId="77777777" w:rsidR="000763E4" w:rsidRPr="000763E4" w:rsidRDefault="000763E4" w:rsidP="000763E4">
      <w:pPr>
        <w:pStyle w:val="Default"/>
        <w:jc w:val="center"/>
        <w:rPr>
          <w:sz w:val="36"/>
          <w:szCs w:val="36"/>
        </w:rPr>
      </w:pPr>
    </w:p>
    <w:p w14:paraId="770C1E34" w14:textId="77777777" w:rsidR="000763E4" w:rsidRPr="000763E4" w:rsidRDefault="000763E4" w:rsidP="000763E4">
      <w:pPr>
        <w:pStyle w:val="Default"/>
        <w:rPr>
          <w:rFonts w:asciiTheme="minorHAnsi" w:hAnsiTheme="minorHAnsi" w:cstheme="minorHAnsi"/>
        </w:rPr>
      </w:pPr>
      <w:r w:rsidRPr="000763E4">
        <w:rPr>
          <w:rFonts w:asciiTheme="minorHAnsi" w:hAnsiTheme="minorHAnsi" w:cstheme="minorHAnsi"/>
        </w:rPr>
        <w:t xml:space="preserve">Description: Assesses functional lower extremity strength, transitional movements, balance, and fall risk. </w:t>
      </w:r>
    </w:p>
    <w:p w14:paraId="26EFBAC3" w14:textId="77777777" w:rsidR="000763E4" w:rsidRPr="000763E4" w:rsidRDefault="000763E4" w:rsidP="000763E4">
      <w:pPr>
        <w:pStyle w:val="Default"/>
        <w:rPr>
          <w:rFonts w:asciiTheme="minorHAnsi" w:hAnsiTheme="minorHAnsi" w:cstheme="minorHAnsi"/>
        </w:rPr>
      </w:pPr>
      <w:r w:rsidRPr="000763E4">
        <w:rPr>
          <w:rFonts w:asciiTheme="minorHAnsi" w:hAnsiTheme="minorHAnsi" w:cstheme="minorHAnsi"/>
        </w:rPr>
        <w:t xml:space="preserve">Equipment: Stopwatch; standard height chair with straight back (16 inches high); </w:t>
      </w:r>
    </w:p>
    <w:p w14:paraId="55DC86B5" w14:textId="77777777" w:rsidR="000763E4" w:rsidRPr="000763E4" w:rsidRDefault="000763E4" w:rsidP="000763E4">
      <w:pPr>
        <w:pStyle w:val="Default"/>
        <w:rPr>
          <w:rFonts w:asciiTheme="minorHAnsi" w:hAnsiTheme="minorHAnsi" w:cstheme="minorHAnsi"/>
        </w:rPr>
      </w:pPr>
      <w:r w:rsidRPr="000763E4">
        <w:rPr>
          <w:rFonts w:asciiTheme="minorHAnsi" w:hAnsiTheme="minorHAnsi" w:cstheme="minorHAnsi"/>
        </w:rPr>
        <w:t xml:space="preserve">Therapist Instructions: Have the patient sit with their back against the back of the chair. Count each stand aloud so that the patient remains oriented. Stop the test when the patient achieves the standing position on the 5th repetition. </w:t>
      </w:r>
    </w:p>
    <w:p w14:paraId="0828AC9E" w14:textId="77777777" w:rsidR="000763E4" w:rsidRPr="000763E4" w:rsidRDefault="000763E4" w:rsidP="000763E4">
      <w:pPr>
        <w:pStyle w:val="Default"/>
        <w:rPr>
          <w:rFonts w:asciiTheme="minorHAnsi" w:hAnsiTheme="minorHAnsi" w:cstheme="minorHAnsi"/>
        </w:rPr>
      </w:pPr>
      <w:r w:rsidRPr="000763E4">
        <w:rPr>
          <w:rFonts w:asciiTheme="minorHAnsi" w:hAnsiTheme="minorHAnsi" w:cstheme="minorHAnsi"/>
        </w:rPr>
        <w:t xml:space="preserve">Patient Instructions: “Please stand up straight as quickly as you can 5 times, without stopping in between. Keep your arms folded across your chest. I’ll be timing you with a stopwatch. Ready, begin.” </w:t>
      </w:r>
    </w:p>
    <w:p w14:paraId="19991B6F" w14:textId="77777777" w:rsidR="000763E4" w:rsidRDefault="000763E4" w:rsidP="000763E4">
      <w:pPr>
        <w:pStyle w:val="Default"/>
        <w:rPr>
          <w:rFonts w:asciiTheme="minorHAnsi" w:hAnsiTheme="minorHAnsi" w:cstheme="minorHAnsi"/>
        </w:rPr>
      </w:pPr>
    </w:p>
    <w:p w14:paraId="1B72DB3A" w14:textId="75B0C597" w:rsidR="000763E4" w:rsidRDefault="000763E4" w:rsidP="000763E4">
      <w:pPr>
        <w:pStyle w:val="Default"/>
        <w:rPr>
          <w:rFonts w:asciiTheme="minorHAnsi" w:hAnsiTheme="minorHAnsi" w:cstheme="minorHAnsi"/>
        </w:rPr>
      </w:pPr>
      <w:r w:rsidRPr="000763E4">
        <w:rPr>
          <w:rFonts w:asciiTheme="minorHAnsi" w:hAnsiTheme="minorHAnsi" w:cstheme="minorHAnsi"/>
        </w:rPr>
        <w:t xml:space="preserve">Interpretation: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1220"/>
      </w:tblGrid>
      <w:tr w:rsidR="000763E4" w14:paraId="2D800A0D" w14:textId="77777777" w:rsidTr="000763E4">
        <w:tblPrEx>
          <w:tblCellMar>
            <w:top w:w="0" w:type="dxa"/>
            <w:bottom w:w="0" w:type="dxa"/>
          </w:tblCellMar>
        </w:tblPrEx>
        <w:trPr>
          <w:trHeight w:val="110"/>
        </w:trPr>
        <w:tc>
          <w:tcPr>
            <w:tcW w:w="1220" w:type="dxa"/>
          </w:tcPr>
          <w:p w14:paraId="255B7FE8" w14:textId="5DF868BD" w:rsidR="000763E4" w:rsidRPr="000763E4" w:rsidRDefault="000763E4" w:rsidP="00663D7F">
            <w:pPr>
              <w:pStyle w:val="Default"/>
              <w:rPr>
                <w:rFonts w:ascii="Calibri" w:hAnsi="Calibri" w:cs="Calibri"/>
                <w:b/>
                <w:bCs/>
                <w:sz w:val="22"/>
                <w:szCs w:val="22"/>
              </w:rPr>
            </w:pPr>
            <w:r>
              <w:rPr>
                <w:rFonts w:ascii="Calibri" w:hAnsi="Calibri" w:cs="Calibri"/>
                <w:b/>
                <w:bCs/>
                <w:sz w:val="22"/>
                <w:szCs w:val="22"/>
              </w:rPr>
              <w:t>Age</w:t>
            </w:r>
            <w:r>
              <w:rPr>
                <w:rFonts w:ascii="Calibri" w:hAnsi="Calibri" w:cs="Calibri"/>
                <w:b/>
                <w:bCs/>
                <w:sz w:val="22"/>
                <w:szCs w:val="22"/>
              </w:rPr>
              <w:t xml:space="preserve"> </w:t>
            </w:r>
            <w:r>
              <w:rPr>
                <w:rFonts w:ascii="Calibri" w:hAnsi="Calibri" w:cs="Calibri"/>
                <w:b/>
                <w:bCs/>
                <w:sz w:val="22"/>
                <w:szCs w:val="22"/>
              </w:rPr>
              <w:t xml:space="preserve">Bracket </w:t>
            </w:r>
          </w:p>
        </w:tc>
        <w:tc>
          <w:tcPr>
            <w:tcW w:w="1220" w:type="dxa"/>
          </w:tcPr>
          <w:p w14:paraId="4246B44F" w14:textId="0668988B" w:rsidR="000763E4" w:rsidRPr="000763E4" w:rsidRDefault="000763E4" w:rsidP="00663D7F">
            <w:pPr>
              <w:pStyle w:val="Default"/>
              <w:rPr>
                <w:rFonts w:ascii="Calibri" w:hAnsi="Calibri" w:cs="Calibri"/>
                <w:b/>
                <w:bCs/>
                <w:sz w:val="22"/>
                <w:szCs w:val="22"/>
              </w:rPr>
            </w:pPr>
            <w:r w:rsidRPr="000763E4">
              <w:rPr>
                <w:rFonts w:ascii="Calibri" w:hAnsi="Calibri" w:cs="Calibri"/>
                <w:b/>
                <w:bCs/>
                <w:sz w:val="22"/>
                <w:szCs w:val="22"/>
              </w:rPr>
              <w:t>Time in Seconds</w:t>
            </w:r>
          </w:p>
        </w:tc>
      </w:tr>
      <w:tr w:rsidR="000763E4" w14:paraId="61BB95E8" w14:textId="77777777" w:rsidTr="000763E4">
        <w:tblPrEx>
          <w:tblCellMar>
            <w:top w:w="0" w:type="dxa"/>
            <w:bottom w:w="0" w:type="dxa"/>
          </w:tblCellMar>
        </w:tblPrEx>
        <w:trPr>
          <w:trHeight w:val="110"/>
        </w:trPr>
        <w:tc>
          <w:tcPr>
            <w:tcW w:w="1220" w:type="dxa"/>
          </w:tcPr>
          <w:p w14:paraId="240E55EA" w14:textId="54F08B72" w:rsidR="000763E4" w:rsidRDefault="000763E4" w:rsidP="00663D7F">
            <w:pPr>
              <w:pStyle w:val="Default"/>
              <w:rPr>
                <w:rFonts w:ascii="Calibri" w:hAnsi="Calibri" w:cs="Calibri"/>
                <w:sz w:val="22"/>
                <w:szCs w:val="22"/>
              </w:rPr>
            </w:pPr>
            <w:r>
              <w:rPr>
                <w:rFonts w:ascii="Calibri" w:hAnsi="Calibri" w:cs="Calibri"/>
                <w:b/>
                <w:bCs/>
                <w:sz w:val="22"/>
                <w:szCs w:val="22"/>
              </w:rPr>
              <w:t xml:space="preserve">60‐69 </w:t>
            </w:r>
            <w:proofErr w:type="spellStart"/>
            <w:r>
              <w:rPr>
                <w:rFonts w:ascii="Calibri" w:hAnsi="Calibri" w:cs="Calibri"/>
                <w:b/>
                <w:bCs/>
                <w:sz w:val="22"/>
                <w:szCs w:val="22"/>
              </w:rPr>
              <w:t>yo</w:t>
            </w:r>
            <w:proofErr w:type="spellEnd"/>
            <w:r>
              <w:rPr>
                <w:rFonts w:ascii="Calibri" w:hAnsi="Calibri" w:cs="Calibri"/>
                <w:b/>
                <w:bCs/>
                <w:sz w:val="22"/>
                <w:szCs w:val="22"/>
              </w:rPr>
              <w:t xml:space="preserve">        </w:t>
            </w:r>
            <w:r>
              <w:rPr>
                <w:rFonts w:ascii="Calibri" w:hAnsi="Calibri" w:cs="Calibri"/>
                <w:b/>
                <w:bCs/>
                <w:sz w:val="22"/>
                <w:szCs w:val="22"/>
              </w:rPr>
              <w:t xml:space="preserve"> </w:t>
            </w:r>
          </w:p>
        </w:tc>
        <w:tc>
          <w:tcPr>
            <w:tcW w:w="1220" w:type="dxa"/>
          </w:tcPr>
          <w:p w14:paraId="5502A688" w14:textId="77777777" w:rsidR="000763E4" w:rsidRDefault="000763E4" w:rsidP="00663D7F">
            <w:pPr>
              <w:pStyle w:val="Default"/>
              <w:rPr>
                <w:rFonts w:ascii="Calibri" w:hAnsi="Calibri" w:cs="Calibri"/>
                <w:sz w:val="22"/>
                <w:szCs w:val="22"/>
              </w:rPr>
            </w:pPr>
            <w:r>
              <w:rPr>
                <w:rFonts w:ascii="Calibri" w:hAnsi="Calibri" w:cs="Calibri"/>
                <w:b/>
                <w:bCs/>
                <w:sz w:val="22"/>
                <w:szCs w:val="22"/>
              </w:rPr>
              <w:t xml:space="preserve">11.4 </w:t>
            </w:r>
          </w:p>
        </w:tc>
      </w:tr>
      <w:tr w:rsidR="000763E4" w14:paraId="025E1441" w14:textId="77777777" w:rsidTr="000763E4">
        <w:tblPrEx>
          <w:tblCellMar>
            <w:top w:w="0" w:type="dxa"/>
            <w:bottom w:w="0" w:type="dxa"/>
          </w:tblCellMar>
        </w:tblPrEx>
        <w:trPr>
          <w:trHeight w:val="110"/>
        </w:trPr>
        <w:tc>
          <w:tcPr>
            <w:tcW w:w="1220" w:type="dxa"/>
          </w:tcPr>
          <w:p w14:paraId="7472D1B3" w14:textId="77777777" w:rsidR="000763E4" w:rsidRDefault="000763E4" w:rsidP="00663D7F">
            <w:pPr>
              <w:pStyle w:val="Default"/>
              <w:rPr>
                <w:rFonts w:ascii="Calibri" w:hAnsi="Calibri" w:cs="Calibri"/>
                <w:sz w:val="22"/>
                <w:szCs w:val="22"/>
              </w:rPr>
            </w:pPr>
            <w:r>
              <w:rPr>
                <w:rFonts w:ascii="Calibri" w:hAnsi="Calibri" w:cs="Calibri"/>
                <w:b/>
                <w:bCs/>
                <w:sz w:val="22"/>
                <w:szCs w:val="22"/>
              </w:rPr>
              <w:t xml:space="preserve">70‐79 </w:t>
            </w:r>
            <w:proofErr w:type="spellStart"/>
            <w:r>
              <w:rPr>
                <w:rFonts w:ascii="Calibri" w:hAnsi="Calibri" w:cs="Calibri"/>
                <w:b/>
                <w:bCs/>
                <w:sz w:val="22"/>
                <w:szCs w:val="22"/>
              </w:rPr>
              <w:t>yo</w:t>
            </w:r>
            <w:proofErr w:type="spellEnd"/>
            <w:r>
              <w:rPr>
                <w:rFonts w:ascii="Calibri" w:hAnsi="Calibri" w:cs="Calibri"/>
                <w:b/>
                <w:bCs/>
                <w:sz w:val="22"/>
                <w:szCs w:val="22"/>
              </w:rPr>
              <w:t xml:space="preserve"> </w:t>
            </w:r>
          </w:p>
        </w:tc>
        <w:tc>
          <w:tcPr>
            <w:tcW w:w="1220" w:type="dxa"/>
          </w:tcPr>
          <w:p w14:paraId="73E3B9DC" w14:textId="77777777" w:rsidR="000763E4" w:rsidRDefault="000763E4" w:rsidP="00663D7F">
            <w:pPr>
              <w:pStyle w:val="Default"/>
              <w:rPr>
                <w:rFonts w:ascii="Calibri" w:hAnsi="Calibri" w:cs="Calibri"/>
                <w:sz w:val="22"/>
                <w:szCs w:val="22"/>
              </w:rPr>
            </w:pPr>
            <w:r>
              <w:rPr>
                <w:rFonts w:ascii="Calibri" w:hAnsi="Calibri" w:cs="Calibri"/>
                <w:b/>
                <w:bCs/>
                <w:sz w:val="22"/>
                <w:szCs w:val="22"/>
              </w:rPr>
              <w:t xml:space="preserve">12.6 </w:t>
            </w:r>
          </w:p>
        </w:tc>
      </w:tr>
      <w:tr w:rsidR="000763E4" w14:paraId="4DF39AE0" w14:textId="77777777" w:rsidTr="000763E4">
        <w:tblPrEx>
          <w:tblCellMar>
            <w:top w:w="0" w:type="dxa"/>
            <w:bottom w:w="0" w:type="dxa"/>
          </w:tblCellMar>
        </w:tblPrEx>
        <w:trPr>
          <w:trHeight w:val="110"/>
        </w:trPr>
        <w:tc>
          <w:tcPr>
            <w:tcW w:w="1220" w:type="dxa"/>
          </w:tcPr>
          <w:p w14:paraId="6E3BA14E" w14:textId="77777777" w:rsidR="000763E4" w:rsidRDefault="000763E4" w:rsidP="00663D7F">
            <w:pPr>
              <w:pStyle w:val="Default"/>
              <w:rPr>
                <w:rFonts w:ascii="Calibri" w:hAnsi="Calibri" w:cs="Calibri"/>
                <w:sz w:val="22"/>
                <w:szCs w:val="22"/>
              </w:rPr>
            </w:pPr>
            <w:r>
              <w:rPr>
                <w:rFonts w:ascii="Calibri" w:hAnsi="Calibri" w:cs="Calibri"/>
                <w:b/>
                <w:bCs/>
                <w:sz w:val="22"/>
                <w:szCs w:val="22"/>
              </w:rPr>
              <w:t xml:space="preserve">80‐89 </w:t>
            </w:r>
            <w:proofErr w:type="spellStart"/>
            <w:r>
              <w:rPr>
                <w:rFonts w:ascii="Calibri" w:hAnsi="Calibri" w:cs="Calibri"/>
                <w:b/>
                <w:bCs/>
                <w:sz w:val="22"/>
                <w:szCs w:val="22"/>
              </w:rPr>
              <w:t>yo</w:t>
            </w:r>
            <w:proofErr w:type="spellEnd"/>
            <w:r>
              <w:rPr>
                <w:rFonts w:ascii="Calibri" w:hAnsi="Calibri" w:cs="Calibri"/>
                <w:b/>
                <w:bCs/>
                <w:sz w:val="22"/>
                <w:szCs w:val="22"/>
              </w:rPr>
              <w:t xml:space="preserve"> </w:t>
            </w:r>
          </w:p>
        </w:tc>
        <w:tc>
          <w:tcPr>
            <w:tcW w:w="1220" w:type="dxa"/>
          </w:tcPr>
          <w:p w14:paraId="00A8272D" w14:textId="77777777" w:rsidR="000763E4" w:rsidRDefault="000763E4" w:rsidP="00663D7F">
            <w:pPr>
              <w:pStyle w:val="Default"/>
              <w:rPr>
                <w:rFonts w:ascii="Calibri" w:hAnsi="Calibri" w:cs="Calibri"/>
                <w:sz w:val="22"/>
                <w:szCs w:val="22"/>
              </w:rPr>
            </w:pPr>
            <w:r>
              <w:rPr>
                <w:rFonts w:ascii="Calibri" w:hAnsi="Calibri" w:cs="Calibri"/>
                <w:b/>
                <w:bCs/>
                <w:sz w:val="22"/>
                <w:szCs w:val="22"/>
              </w:rPr>
              <w:t xml:space="preserve">14.8 </w:t>
            </w:r>
          </w:p>
        </w:tc>
      </w:tr>
    </w:tbl>
    <w:p w14:paraId="10F6997F" w14:textId="607527B5" w:rsidR="000763E4" w:rsidRDefault="000763E4" w:rsidP="000763E4">
      <w:pPr>
        <w:pStyle w:val="Default"/>
        <w:rPr>
          <w:rFonts w:asciiTheme="minorHAnsi" w:hAnsiTheme="minorHAnsi" w:cstheme="minorHAnsi"/>
        </w:rPr>
      </w:pPr>
    </w:p>
    <w:p w14:paraId="6B5E10D6" w14:textId="77777777" w:rsidR="000763E4" w:rsidRDefault="000763E4" w:rsidP="000763E4">
      <w:pPr>
        <w:pStyle w:val="Default"/>
      </w:pPr>
    </w:p>
    <w:p w14:paraId="12B8C46D" w14:textId="3EB72EE4" w:rsidR="000763E4" w:rsidRPr="000763E4" w:rsidRDefault="000763E4" w:rsidP="000763E4">
      <w:pPr>
        <w:pStyle w:val="Default"/>
        <w:rPr>
          <w:rFonts w:asciiTheme="minorHAnsi" w:hAnsiTheme="minorHAnsi" w:cstheme="minorHAnsi"/>
          <w:b/>
          <w:bCs/>
        </w:rPr>
      </w:pPr>
      <w:r w:rsidRPr="000763E4">
        <w:rPr>
          <w:rFonts w:asciiTheme="minorHAnsi" w:hAnsiTheme="minorHAnsi" w:cstheme="minorHAnsi"/>
          <w:b/>
          <w:bCs/>
        </w:rPr>
        <w:t xml:space="preserve">Fall Risk: </w:t>
      </w:r>
    </w:p>
    <w:p w14:paraId="1CFF84D5" w14:textId="148EAADC" w:rsidR="000763E4" w:rsidRPr="000763E4" w:rsidRDefault="000763E4" w:rsidP="000763E4">
      <w:pPr>
        <w:pStyle w:val="Default"/>
        <w:numPr>
          <w:ilvl w:val="0"/>
          <w:numId w:val="1"/>
        </w:numPr>
        <w:rPr>
          <w:rFonts w:asciiTheme="minorHAnsi" w:hAnsiTheme="minorHAnsi" w:cstheme="minorHAnsi"/>
        </w:rPr>
      </w:pPr>
      <w:r w:rsidRPr="000763E4">
        <w:rPr>
          <w:rFonts w:asciiTheme="minorHAnsi" w:hAnsiTheme="minorHAnsi" w:cstheme="minorHAnsi"/>
        </w:rPr>
        <w:t xml:space="preserve">Geriatrics </w:t>
      </w:r>
    </w:p>
    <w:p w14:paraId="1197AF55" w14:textId="77777777" w:rsidR="000763E4" w:rsidRPr="000763E4" w:rsidRDefault="000763E4" w:rsidP="000763E4">
      <w:pPr>
        <w:pStyle w:val="Default"/>
        <w:ind w:firstLine="720"/>
        <w:rPr>
          <w:rFonts w:asciiTheme="minorHAnsi" w:hAnsiTheme="minorHAnsi" w:cstheme="minorHAnsi"/>
        </w:rPr>
      </w:pPr>
      <w:r w:rsidRPr="000763E4">
        <w:rPr>
          <w:rFonts w:asciiTheme="minorHAnsi" w:hAnsiTheme="minorHAnsi" w:cstheme="minorHAnsi"/>
        </w:rPr>
        <w:t xml:space="preserve">-need for further assessment of fall risk: ≥ 12 sec5 </w:t>
      </w:r>
    </w:p>
    <w:p w14:paraId="032DFC17" w14:textId="689E85BD" w:rsidR="000763E4" w:rsidRPr="000763E4" w:rsidRDefault="000763E4" w:rsidP="000763E4">
      <w:pPr>
        <w:pStyle w:val="Default"/>
        <w:ind w:firstLine="720"/>
        <w:rPr>
          <w:rFonts w:asciiTheme="minorHAnsi" w:hAnsiTheme="minorHAnsi" w:cstheme="minorHAnsi"/>
        </w:rPr>
      </w:pPr>
      <w:r w:rsidRPr="000763E4">
        <w:rPr>
          <w:rFonts w:asciiTheme="minorHAnsi" w:hAnsiTheme="minorHAnsi" w:cstheme="minorHAnsi"/>
        </w:rPr>
        <w:t>-recurrent falls: &gt; 15 sec</w:t>
      </w:r>
    </w:p>
    <w:p w14:paraId="4CA63EEE" w14:textId="486451F1" w:rsidR="000763E4" w:rsidRPr="000763E4" w:rsidRDefault="000763E4" w:rsidP="000763E4">
      <w:pPr>
        <w:pStyle w:val="Default"/>
        <w:numPr>
          <w:ilvl w:val="0"/>
          <w:numId w:val="1"/>
        </w:numPr>
        <w:rPr>
          <w:rFonts w:asciiTheme="minorHAnsi" w:hAnsiTheme="minorHAnsi" w:cstheme="minorHAnsi"/>
        </w:rPr>
      </w:pPr>
      <w:r w:rsidRPr="000763E4">
        <w:rPr>
          <w:rFonts w:asciiTheme="minorHAnsi" w:hAnsiTheme="minorHAnsi" w:cstheme="minorHAnsi"/>
        </w:rPr>
        <w:t xml:space="preserve">Vestibular Disorders </w:t>
      </w:r>
    </w:p>
    <w:p w14:paraId="20C917B7" w14:textId="7E699BFA" w:rsidR="000763E4" w:rsidRPr="000763E4" w:rsidRDefault="000763E4" w:rsidP="000763E4">
      <w:pPr>
        <w:pStyle w:val="Default"/>
        <w:ind w:firstLine="720"/>
        <w:rPr>
          <w:rFonts w:asciiTheme="minorHAnsi" w:hAnsiTheme="minorHAnsi" w:cstheme="minorHAnsi"/>
        </w:rPr>
      </w:pPr>
      <w:r w:rsidRPr="000763E4">
        <w:rPr>
          <w:rFonts w:asciiTheme="minorHAnsi" w:hAnsiTheme="minorHAnsi" w:cstheme="minorHAnsi"/>
        </w:rPr>
        <w:t>-fall risk: &gt; 15 sec</w:t>
      </w:r>
    </w:p>
    <w:p w14:paraId="4BF786C2" w14:textId="247CFED2" w:rsidR="000763E4" w:rsidRPr="000763E4" w:rsidRDefault="000763E4" w:rsidP="000763E4">
      <w:pPr>
        <w:pStyle w:val="Default"/>
        <w:numPr>
          <w:ilvl w:val="0"/>
          <w:numId w:val="1"/>
        </w:numPr>
        <w:rPr>
          <w:rFonts w:asciiTheme="minorHAnsi" w:hAnsiTheme="minorHAnsi" w:cstheme="minorHAnsi"/>
        </w:rPr>
      </w:pPr>
      <w:r w:rsidRPr="000763E4">
        <w:rPr>
          <w:rFonts w:asciiTheme="minorHAnsi" w:hAnsiTheme="minorHAnsi" w:cstheme="minorHAnsi"/>
        </w:rPr>
        <w:t xml:space="preserve">Parkinson’s Disease </w:t>
      </w:r>
    </w:p>
    <w:p w14:paraId="09813F32" w14:textId="1EFE455D" w:rsidR="000763E4" w:rsidRPr="000763E4" w:rsidRDefault="000763E4" w:rsidP="000763E4">
      <w:pPr>
        <w:pStyle w:val="Default"/>
        <w:ind w:firstLine="720"/>
        <w:rPr>
          <w:rFonts w:asciiTheme="minorHAnsi" w:hAnsiTheme="minorHAnsi" w:cstheme="minorHAnsi"/>
        </w:rPr>
      </w:pPr>
      <w:r w:rsidRPr="000763E4">
        <w:rPr>
          <w:rFonts w:asciiTheme="minorHAnsi" w:hAnsiTheme="minorHAnsi" w:cstheme="minorHAnsi"/>
        </w:rPr>
        <w:t>-fall risk: &gt; 16 sec</w:t>
      </w:r>
      <w:r>
        <w:rPr>
          <w:rFonts w:asciiTheme="minorHAnsi" w:hAnsiTheme="minorHAnsi" w:cstheme="minorHAnsi"/>
        </w:rPr>
        <w:t xml:space="preserve"> </w:t>
      </w:r>
    </w:p>
    <w:p w14:paraId="366A4165" w14:textId="77777777" w:rsidR="000763E4" w:rsidRPr="000763E4" w:rsidRDefault="000763E4" w:rsidP="000763E4">
      <w:pPr>
        <w:pStyle w:val="Default"/>
        <w:rPr>
          <w:rFonts w:asciiTheme="minorHAnsi" w:hAnsiTheme="minorHAnsi" w:cstheme="minorHAnsi"/>
        </w:rPr>
      </w:pPr>
    </w:p>
    <w:p w14:paraId="205111E5" w14:textId="4F0FCFAD" w:rsidR="000763E4" w:rsidRPr="000763E4" w:rsidRDefault="000763E4" w:rsidP="000763E4">
      <w:pPr>
        <w:pStyle w:val="Default"/>
        <w:rPr>
          <w:rFonts w:asciiTheme="minorHAnsi" w:hAnsiTheme="minorHAnsi" w:cstheme="minorHAnsi"/>
        </w:rPr>
      </w:pPr>
      <w:r w:rsidRPr="000763E4">
        <w:rPr>
          <w:rFonts w:asciiTheme="minorHAnsi" w:hAnsiTheme="minorHAnsi" w:cstheme="minorHAnsi"/>
        </w:rPr>
        <w:t xml:space="preserve">Lower times = better scores </w:t>
      </w:r>
    </w:p>
    <w:p w14:paraId="61283F27" w14:textId="38CDD936" w:rsidR="000763E4" w:rsidRPr="000763E4" w:rsidRDefault="000763E4" w:rsidP="000763E4">
      <w:pPr>
        <w:pStyle w:val="Default"/>
        <w:rPr>
          <w:rFonts w:asciiTheme="minorHAnsi" w:hAnsiTheme="minorHAnsi" w:cstheme="minorHAnsi"/>
        </w:rPr>
      </w:pPr>
      <w:r w:rsidRPr="000763E4">
        <w:rPr>
          <w:rFonts w:asciiTheme="minorHAnsi" w:hAnsiTheme="minorHAnsi" w:cstheme="minorHAnsi"/>
        </w:rPr>
        <w:t xml:space="preserve">MDC: 3.6-4.2 sec </w:t>
      </w:r>
    </w:p>
    <w:p w14:paraId="600BA783" w14:textId="0468E9CE" w:rsidR="000763E4" w:rsidRPr="000763E4" w:rsidRDefault="000763E4" w:rsidP="000763E4">
      <w:pPr>
        <w:pStyle w:val="Default"/>
        <w:rPr>
          <w:rFonts w:asciiTheme="minorHAnsi" w:hAnsiTheme="minorHAnsi" w:cstheme="minorHAnsi"/>
        </w:rPr>
      </w:pPr>
      <w:r w:rsidRPr="000763E4">
        <w:rPr>
          <w:rFonts w:asciiTheme="minorHAnsi" w:hAnsiTheme="minorHAnsi" w:cstheme="minorHAnsi"/>
        </w:rPr>
        <w:t>MCID: 2.3 sec</w:t>
      </w:r>
    </w:p>
    <w:p w14:paraId="3A263F75" w14:textId="77777777" w:rsidR="000763E4" w:rsidRDefault="000763E4" w:rsidP="000763E4">
      <w:pPr>
        <w:pStyle w:val="Default"/>
        <w:rPr>
          <w:sz w:val="13"/>
          <w:szCs w:val="13"/>
        </w:rPr>
      </w:pPr>
    </w:p>
    <w:p w14:paraId="685D3070" w14:textId="77777777" w:rsidR="000763E4" w:rsidRPr="000763E4" w:rsidRDefault="000763E4" w:rsidP="000763E4">
      <w:pPr>
        <w:pStyle w:val="Default"/>
        <w:rPr>
          <w:rFonts w:asciiTheme="minorHAnsi" w:hAnsiTheme="minorHAnsi" w:cstheme="minorHAnsi"/>
          <w:sz w:val="20"/>
          <w:szCs w:val="20"/>
        </w:rPr>
      </w:pPr>
      <w:r w:rsidRPr="000763E4">
        <w:rPr>
          <w:rFonts w:asciiTheme="minorHAnsi" w:hAnsiTheme="minorHAnsi" w:cstheme="minorHAnsi"/>
          <w:sz w:val="20"/>
          <w:szCs w:val="20"/>
        </w:rPr>
        <w:t xml:space="preserve">1 </w:t>
      </w:r>
      <w:proofErr w:type="spellStart"/>
      <w:r w:rsidRPr="000763E4">
        <w:rPr>
          <w:rFonts w:asciiTheme="minorHAnsi" w:hAnsiTheme="minorHAnsi" w:cstheme="minorHAnsi"/>
          <w:sz w:val="20"/>
          <w:szCs w:val="20"/>
        </w:rPr>
        <w:t>Schaubert</w:t>
      </w:r>
      <w:proofErr w:type="spellEnd"/>
      <w:r w:rsidRPr="000763E4">
        <w:rPr>
          <w:rFonts w:asciiTheme="minorHAnsi" w:hAnsiTheme="minorHAnsi" w:cstheme="minorHAnsi"/>
          <w:sz w:val="20"/>
          <w:szCs w:val="20"/>
        </w:rPr>
        <w:t xml:space="preserve">, K. L. and Bohannon, R. W. (2005). "Reliability and validity of three strength measures obtained from community-dwelling elderly persons." J Strength Cond Res 19(3): 717-720. </w:t>
      </w:r>
    </w:p>
    <w:p w14:paraId="5A1816B9" w14:textId="77777777" w:rsidR="000763E4" w:rsidRPr="000763E4" w:rsidRDefault="000763E4" w:rsidP="000763E4">
      <w:pPr>
        <w:pStyle w:val="Default"/>
        <w:rPr>
          <w:rFonts w:asciiTheme="minorHAnsi" w:hAnsiTheme="minorHAnsi" w:cstheme="minorHAnsi"/>
          <w:sz w:val="20"/>
          <w:szCs w:val="20"/>
        </w:rPr>
      </w:pPr>
      <w:r w:rsidRPr="000763E4">
        <w:rPr>
          <w:rFonts w:asciiTheme="minorHAnsi" w:hAnsiTheme="minorHAnsi" w:cstheme="minorHAnsi"/>
          <w:sz w:val="20"/>
          <w:szCs w:val="20"/>
        </w:rPr>
        <w:t xml:space="preserve">2 </w:t>
      </w:r>
      <w:proofErr w:type="spellStart"/>
      <w:r w:rsidRPr="000763E4">
        <w:rPr>
          <w:rFonts w:asciiTheme="minorHAnsi" w:hAnsiTheme="minorHAnsi" w:cstheme="minorHAnsi"/>
          <w:sz w:val="20"/>
          <w:szCs w:val="20"/>
        </w:rPr>
        <w:t>Mong</w:t>
      </w:r>
      <w:proofErr w:type="spellEnd"/>
      <w:r w:rsidRPr="000763E4">
        <w:rPr>
          <w:rFonts w:asciiTheme="minorHAnsi" w:hAnsiTheme="minorHAnsi" w:cstheme="minorHAnsi"/>
          <w:sz w:val="20"/>
          <w:szCs w:val="20"/>
        </w:rPr>
        <w:t xml:space="preserve">, Y., Teo, T. W., et al. (2010). "5-repetition sit-to-stand test in subjects with chronic stroke: reliability and validity." Archives of Physical Medicine and Rehabilitation 91(3): 407-413. </w:t>
      </w:r>
    </w:p>
    <w:p w14:paraId="692C8F78" w14:textId="77777777" w:rsidR="000763E4" w:rsidRPr="000763E4" w:rsidRDefault="000763E4" w:rsidP="000763E4">
      <w:pPr>
        <w:pStyle w:val="Default"/>
        <w:rPr>
          <w:rFonts w:asciiTheme="minorHAnsi" w:hAnsiTheme="minorHAnsi" w:cstheme="minorHAnsi"/>
          <w:sz w:val="20"/>
          <w:szCs w:val="20"/>
        </w:rPr>
      </w:pPr>
      <w:r w:rsidRPr="000763E4">
        <w:rPr>
          <w:rFonts w:asciiTheme="minorHAnsi" w:hAnsiTheme="minorHAnsi" w:cstheme="minorHAnsi"/>
          <w:sz w:val="20"/>
          <w:szCs w:val="20"/>
        </w:rPr>
        <w:t xml:space="preserve">3 </w:t>
      </w:r>
      <w:proofErr w:type="spellStart"/>
      <w:r w:rsidRPr="000763E4">
        <w:rPr>
          <w:rFonts w:asciiTheme="minorHAnsi" w:hAnsiTheme="minorHAnsi" w:cstheme="minorHAnsi"/>
          <w:sz w:val="20"/>
          <w:szCs w:val="20"/>
        </w:rPr>
        <w:t>Meretta</w:t>
      </w:r>
      <w:proofErr w:type="spellEnd"/>
      <w:r w:rsidRPr="000763E4">
        <w:rPr>
          <w:rFonts w:asciiTheme="minorHAnsi" w:hAnsiTheme="minorHAnsi" w:cstheme="minorHAnsi"/>
          <w:sz w:val="20"/>
          <w:szCs w:val="20"/>
        </w:rPr>
        <w:t xml:space="preserve">, B. M., Whitney, S. L., et al. (2006). "The five times sit to stand test: responsiveness to change and concurrent validity in adults undergoing vestibular rehabilitation." Journal of Vestibular Research 16(4-5): 233-243. </w:t>
      </w:r>
    </w:p>
    <w:p w14:paraId="6D88EDBF" w14:textId="77777777" w:rsidR="000763E4" w:rsidRPr="000763E4" w:rsidRDefault="000763E4" w:rsidP="000763E4">
      <w:pPr>
        <w:pStyle w:val="Default"/>
        <w:rPr>
          <w:rFonts w:asciiTheme="minorHAnsi" w:hAnsiTheme="minorHAnsi" w:cstheme="minorHAnsi"/>
          <w:sz w:val="20"/>
          <w:szCs w:val="20"/>
        </w:rPr>
      </w:pPr>
      <w:r w:rsidRPr="000763E4">
        <w:rPr>
          <w:rFonts w:asciiTheme="minorHAnsi" w:hAnsiTheme="minorHAnsi" w:cstheme="minorHAnsi"/>
          <w:sz w:val="20"/>
          <w:szCs w:val="20"/>
        </w:rPr>
        <w:t xml:space="preserve">4 Bohannon RW. Reference values for the five‐repetition sit‐to‐stand test: a descriptive </w:t>
      </w:r>
      <w:proofErr w:type="spellStart"/>
      <w:r w:rsidRPr="000763E4">
        <w:rPr>
          <w:rFonts w:asciiTheme="minorHAnsi" w:hAnsiTheme="minorHAnsi" w:cstheme="minorHAnsi"/>
          <w:sz w:val="20"/>
          <w:szCs w:val="20"/>
        </w:rPr>
        <w:t>metaanalysis</w:t>
      </w:r>
      <w:proofErr w:type="spellEnd"/>
      <w:r w:rsidRPr="000763E4">
        <w:rPr>
          <w:rFonts w:asciiTheme="minorHAnsi" w:hAnsiTheme="minorHAnsi" w:cstheme="minorHAnsi"/>
          <w:sz w:val="20"/>
          <w:szCs w:val="20"/>
        </w:rPr>
        <w:t xml:space="preserve"> of data from elders. </w:t>
      </w:r>
      <w:r w:rsidRPr="000763E4">
        <w:rPr>
          <w:rFonts w:asciiTheme="minorHAnsi" w:hAnsiTheme="minorHAnsi" w:cstheme="minorHAnsi"/>
          <w:i/>
          <w:iCs/>
          <w:sz w:val="20"/>
          <w:szCs w:val="20"/>
        </w:rPr>
        <w:t xml:space="preserve">Percept Mot Skills </w:t>
      </w:r>
      <w:r w:rsidRPr="000763E4">
        <w:rPr>
          <w:rFonts w:asciiTheme="minorHAnsi" w:hAnsiTheme="minorHAnsi" w:cstheme="minorHAnsi"/>
          <w:sz w:val="20"/>
          <w:szCs w:val="20"/>
        </w:rPr>
        <w:t xml:space="preserve">2006; 103(1):215‐222. </w:t>
      </w:r>
    </w:p>
    <w:p w14:paraId="39159B98" w14:textId="77777777" w:rsidR="000763E4" w:rsidRPr="000763E4" w:rsidRDefault="000763E4" w:rsidP="000763E4">
      <w:pPr>
        <w:pStyle w:val="Default"/>
        <w:rPr>
          <w:rFonts w:asciiTheme="minorHAnsi" w:hAnsiTheme="minorHAnsi" w:cstheme="minorHAnsi"/>
          <w:sz w:val="20"/>
          <w:szCs w:val="20"/>
        </w:rPr>
      </w:pPr>
      <w:r w:rsidRPr="000763E4">
        <w:rPr>
          <w:rFonts w:asciiTheme="minorHAnsi" w:hAnsiTheme="minorHAnsi" w:cstheme="minorHAnsi"/>
          <w:sz w:val="20"/>
          <w:szCs w:val="20"/>
        </w:rPr>
        <w:t xml:space="preserve">5 Tiedemann, A., Shimada, H., et al. (2008). "The comparative ability of eight functional mobility tests for predicting falls in community-dwelling older people." Age and Ageing 37(4): 430-435. </w:t>
      </w:r>
    </w:p>
    <w:p w14:paraId="0CFEDC94" w14:textId="77777777" w:rsidR="000763E4" w:rsidRPr="000763E4" w:rsidRDefault="000763E4" w:rsidP="000763E4">
      <w:pPr>
        <w:pStyle w:val="Default"/>
        <w:rPr>
          <w:rFonts w:asciiTheme="minorHAnsi" w:hAnsiTheme="minorHAnsi" w:cstheme="minorHAnsi"/>
          <w:sz w:val="20"/>
          <w:szCs w:val="20"/>
        </w:rPr>
      </w:pPr>
      <w:r w:rsidRPr="000763E4">
        <w:rPr>
          <w:rFonts w:asciiTheme="minorHAnsi" w:hAnsiTheme="minorHAnsi" w:cstheme="minorHAnsi"/>
          <w:sz w:val="20"/>
          <w:szCs w:val="20"/>
        </w:rPr>
        <w:t xml:space="preserve">6 </w:t>
      </w:r>
      <w:proofErr w:type="spellStart"/>
      <w:r w:rsidRPr="000763E4">
        <w:rPr>
          <w:rFonts w:asciiTheme="minorHAnsi" w:hAnsiTheme="minorHAnsi" w:cstheme="minorHAnsi"/>
          <w:sz w:val="20"/>
          <w:szCs w:val="20"/>
        </w:rPr>
        <w:t>Buatois</w:t>
      </w:r>
      <w:proofErr w:type="spellEnd"/>
      <w:r w:rsidRPr="000763E4">
        <w:rPr>
          <w:rFonts w:asciiTheme="minorHAnsi" w:hAnsiTheme="minorHAnsi" w:cstheme="minorHAnsi"/>
          <w:sz w:val="20"/>
          <w:szCs w:val="20"/>
        </w:rPr>
        <w:t xml:space="preserve">, S., Perret-Guillaume, C., et al. (2010). "A simple clinical scale to stratify risk of recurrent falls in community-dwelling adults aged 65 years and older." Physical Therapy 90(4): 550-560. </w:t>
      </w:r>
    </w:p>
    <w:p w14:paraId="2860E2BF" w14:textId="77777777" w:rsidR="000763E4" w:rsidRPr="000763E4" w:rsidRDefault="000763E4" w:rsidP="000763E4">
      <w:pPr>
        <w:pStyle w:val="Default"/>
        <w:rPr>
          <w:rFonts w:asciiTheme="minorHAnsi" w:hAnsiTheme="minorHAnsi" w:cstheme="minorHAnsi"/>
          <w:sz w:val="20"/>
          <w:szCs w:val="20"/>
        </w:rPr>
      </w:pPr>
      <w:r w:rsidRPr="000763E4">
        <w:rPr>
          <w:rFonts w:asciiTheme="minorHAnsi" w:hAnsiTheme="minorHAnsi" w:cstheme="minorHAnsi"/>
          <w:sz w:val="20"/>
          <w:szCs w:val="20"/>
        </w:rPr>
        <w:lastRenderedPageBreak/>
        <w:t xml:space="preserve">7 </w:t>
      </w:r>
      <w:proofErr w:type="spellStart"/>
      <w:r w:rsidRPr="000763E4">
        <w:rPr>
          <w:rFonts w:asciiTheme="minorHAnsi" w:hAnsiTheme="minorHAnsi" w:cstheme="minorHAnsi"/>
          <w:sz w:val="20"/>
          <w:szCs w:val="20"/>
        </w:rPr>
        <w:t>Buatois</w:t>
      </w:r>
      <w:proofErr w:type="spellEnd"/>
      <w:r w:rsidRPr="000763E4">
        <w:rPr>
          <w:rFonts w:asciiTheme="minorHAnsi" w:hAnsiTheme="minorHAnsi" w:cstheme="minorHAnsi"/>
          <w:sz w:val="20"/>
          <w:szCs w:val="20"/>
        </w:rPr>
        <w:t xml:space="preserve">, S., </w:t>
      </w:r>
      <w:proofErr w:type="spellStart"/>
      <w:r w:rsidRPr="000763E4">
        <w:rPr>
          <w:rFonts w:asciiTheme="minorHAnsi" w:hAnsiTheme="minorHAnsi" w:cstheme="minorHAnsi"/>
          <w:sz w:val="20"/>
          <w:szCs w:val="20"/>
        </w:rPr>
        <w:t>Miljkovic</w:t>
      </w:r>
      <w:proofErr w:type="spellEnd"/>
      <w:r w:rsidRPr="000763E4">
        <w:rPr>
          <w:rFonts w:asciiTheme="minorHAnsi" w:hAnsiTheme="minorHAnsi" w:cstheme="minorHAnsi"/>
          <w:sz w:val="20"/>
          <w:szCs w:val="20"/>
        </w:rPr>
        <w:t xml:space="preserve">, D., et al. (2008). "Five times sit to stand test is a predictor of recurrent falls in healthy community-living subjects aged 65 and older." Journal of the American Geriatrics Society 56(8): 1575-1577. </w:t>
      </w:r>
    </w:p>
    <w:p w14:paraId="27E79015" w14:textId="32840F2B" w:rsidR="000763E4" w:rsidRDefault="000763E4" w:rsidP="000763E4">
      <w:pPr>
        <w:pStyle w:val="Default"/>
        <w:rPr>
          <w:rFonts w:asciiTheme="minorHAnsi" w:hAnsiTheme="minorHAnsi" w:cstheme="minorHAnsi"/>
          <w:sz w:val="20"/>
          <w:szCs w:val="20"/>
        </w:rPr>
      </w:pPr>
      <w:r w:rsidRPr="000763E4">
        <w:rPr>
          <w:rFonts w:asciiTheme="minorHAnsi" w:hAnsiTheme="minorHAnsi" w:cstheme="minorHAnsi"/>
          <w:sz w:val="20"/>
          <w:szCs w:val="20"/>
        </w:rPr>
        <w:t xml:space="preserve">8 Duncan, R. P., Leddy, A. L., et al. (2011). "Five times sit-to-stand test performance in Parkinson's disease." Arch Phys Med </w:t>
      </w:r>
      <w:proofErr w:type="spellStart"/>
      <w:r w:rsidRPr="000763E4">
        <w:rPr>
          <w:rFonts w:asciiTheme="minorHAnsi" w:hAnsiTheme="minorHAnsi" w:cstheme="minorHAnsi"/>
          <w:sz w:val="20"/>
          <w:szCs w:val="20"/>
        </w:rPr>
        <w:t>Rehabil</w:t>
      </w:r>
      <w:proofErr w:type="spellEnd"/>
      <w:r w:rsidRPr="000763E4">
        <w:rPr>
          <w:rFonts w:asciiTheme="minorHAnsi" w:hAnsiTheme="minorHAnsi" w:cstheme="minorHAnsi"/>
          <w:sz w:val="20"/>
          <w:szCs w:val="20"/>
        </w:rPr>
        <w:t xml:space="preserve"> 92(9): 1431-1436. </w:t>
      </w:r>
    </w:p>
    <w:p w14:paraId="0F46AB48" w14:textId="00D74ADA" w:rsidR="000763E4" w:rsidRDefault="000763E4" w:rsidP="000763E4">
      <w:pPr>
        <w:pStyle w:val="Default"/>
        <w:rPr>
          <w:rFonts w:asciiTheme="minorHAnsi" w:hAnsiTheme="minorHAnsi" w:cstheme="minorHAnsi"/>
          <w:sz w:val="20"/>
          <w:szCs w:val="20"/>
        </w:rPr>
      </w:pPr>
      <w:r>
        <w:rPr>
          <w:rFonts w:asciiTheme="minorHAnsi" w:hAnsiTheme="minorHAnsi" w:cstheme="minorHAnsi"/>
          <w:sz w:val="20"/>
          <w:szCs w:val="20"/>
        </w:rPr>
        <w:t xml:space="preserve"> </w:t>
      </w:r>
    </w:p>
    <w:p w14:paraId="79AA0832" w14:textId="77777777" w:rsidR="000763E4" w:rsidRDefault="000763E4" w:rsidP="000763E4">
      <w:pPr>
        <w:pStyle w:val="Default"/>
      </w:pPr>
    </w:p>
    <w:p w14:paraId="309D5184" w14:textId="0B095A3B" w:rsidR="000763E4" w:rsidRPr="000763E4" w:rsidRDefault="000763E4" w:rsidP="000763E4">
      <w:pPr>
        <w:pStyle w:val="Default"/>
        <w:rPr>
          <w:rFonts w:asciiTheme="minorHAnsi" w:hAnsiTheme="minorHAnsi" w:cstheme="minorHAnsi"/>
          <w:sz w:val="20"/>
          <w:szCs w:val="20"/>
        </w:rPr>
      </w:pPr>
      <w:r>
        <w:t xml:space="preserve"> </w:t>
      </w:r>
      <w:r>
        <w:rPr>
          <w:sz w:val="16"/>
          <w:szCs w:val="16"/>
        </w:rPr>
        <w:t>www.udel.edu/PT/</w:t>
      </w:r>
    </w:p>
    <w:p w14:paraId="1DB8ED7E" w14:textId="77777777" w:rsidR="000A1A01" w:rsidRDefault="000763E4"/>
    <w:sectPr w:rsidR="000A1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77DC"/>
    <w:multiLevelType w:val="hybridMultilevel"/>
    <w:tmpl w:val="1D0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E4"/>
    <w:rsid w:val="000152C5"/>
    <w:rsid w:val="000763E4"/>
    <w:rsid w:val="008B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B7DD"/>
  <w15:chartTrackingRefBased/>
  <w15:docId w15:val="{65129026-86BC-4E43-8DA2-C5F1332C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3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Overton</dc:creator>
  <cp:keywords/>
  <dc:description/>
  <cp:lastModifiedBy>Donna Overton</cp:lastModifiedBy>
  <cp:revision>1</cp:revision>
  <dcterms:created xsi:type="dcterms:W3CDTF">2020-11-13T15:44:00Z</dcterms:created>
  <dcterms:modified xsi:type="dcterms:W3CDTF">2020-11-13T15:53:00Z</dcterms:modified>
</cp:coreProperties>
</file>